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F4" w:rsidRDefault="000D0CF4" w:rsidP="00C45E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Pr="00125DB5" w:rsidRDefault="000D0CF4" w:rsidP="000D0CF4">
      <w:pPr>
        <w:spacing w:after="0" w:line="240" w:lineRule="auto"/>
        <w:ind w:firstLine="284"/>
        <w:jc w:val="center"/>
        <w:rPr>
          <w:rFonts w:ascii="Times New Roman" w:hAnsi="Times New Roman"/>
          <w:i/>
          <w:sz w:val="40"/>
          <w:szCs w:val="40"/>
        </w:rPr>
      </w:pPr>
      <w:r w:rsidRPr="00125DB5">
        <w:rPr>
          <w:rFonts w:ascii="Times New Roman" w:hAnsi="Times New Roman"/>
          <w:i/>
          <w:sz w:val="40"/>
          <w:szCs w:val="40"/>
        </w:rPr>
        <w:t>Муниципальное</w:t>
      </w:r>
      <w:r w:rsidR="00EF01FF">
        <w:rPr>
          <w:rFonts w:ascii="Times New Roman" w:hAnsi="Times New Roman"/>
          <w:i/>
          <w:sz w:val="40"/>
          <w:szCs w:val="40"/>
        </w:rPr>
        <w:t xml:space="preserve"> </w:t>
      </w:r>
      <w:r w:rsidR="005B6128">
        <w:rPr>
          <w:rFonts w:ascii="Times New Roman" w:hAnsi="Times New Roman"/>
          <w:i/>
          <w:sz w:val="40"/>
          <w:szCs w:val="40"/>
        </w:rPr>
        <w:t>казенное</w:t>
      </w:r>
      <w:r w:rsidRPr="00125DB5">
        <w:rPr>
          <w:rFonts w:ascii="Times New Roman" w:hAnsi="Times New Roman"/>
          <w:i/>
          <w:sz w:val="40"/>
          <w:szCs w:val="40"/>
        </w:rPr>
        <w:t xml:space="preserve"> общеобразовательное учреждение</w:t>
      </w:r>
    </w:p>
    <w:p w:rsidR="000D0CF4" w:rsidRPr="00125DB5" w:rsidRDefault="000D0CF4" w:rsidP="000D0CF4">
      <w:pPr>
        <w:spacing w:after="0" w:line="240" w:lineRule="auto"/>
        <w:ind w:firstLine="284"/>
        <w:jc w:val="center"/>
        <w:rPr>
          <w:rFonts w:ascii="Times New Roman" w:hAnsi="Times New Roman"/>
          <w:i/>
          <w:sz w:val="40"/>
          <w:szCs w:val="40"/>
        </w:rPr>
      </w:pPr>
      <w:r w:rsidRPr="00125DB5">
        <w:rPr>
          <w:rFonts w:ascii="Times New Roman" w:hAnsi="Times New Roman"/>
          <w:i/>
          <w:sz w:val="40"/>
          <w:szCs w:val="40"/>
        </w:rPr>
        <w:t>«</w:t>
      </w:r>
      <w:proofErr w:type="spellStart"/>
      <w:r w:rsidR="00DC0600">
        <w:rPr>
          <w:rFonts w:ascii="Times New Roman" w:hAnsi="Times New Roman"/>
          <w:i/>
          <w:sz w:val="40"/>
          <w:szCs w:val="40"/>
        </w:rPr>
        <w:t>Ратлубс</w:t>
      </w:r>
      <w:r w:rsidR="005B6128">
        <w:rPr>
          <w:rFonts w:ascii="Times New Roman" w:hAnsi="Times New Roman"/>
          <w:i/>
          <w:sz w:val="40"/>
          <w:szCs w:val="40"/>
        </w:rPr>
        <w:t>кая</w:t>
      </w:r>
      <w:proofErr w:type="spellEnd"/>
      <w:r w:rsidRPr="00125DB5">
        <w:rPr>
          <w:rFonts w:ascii="Times New Roman" w:hAnsi="Times New Roman"/>
          <w:i/>
          <w:sz w:val="40"/>
          <w:szCs w:val="40"/>
        </w:rPr>
        <w:t xml:space="preserve"> средняя общеобразовательная школа»</w:t>
      </w:r>
    </w:p>
    <w:p w:rsidR="000D0CF4" w:rsidRPr="00125DB5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Pr="00125DB5" w:rsidRDefault="000D0CF4" w:rsidP="000D0CF4">
      <w:pPr>
        <w:spacing w:after="0" w:line="240" w:lineRule="auto"/>
        <w:ind w:firstLine="284"/>
        <w:jc w:val="center"/>
        <w:rPr>
          <w:rFonts w:ascii="Times New Roman" w:hAnsi="Times New Roman"/>
          <w:i/>
          <w:sz w:val="96"/>
          <w:szCs w:val="96"/>
        </w:rPr>
      </w:pPr>
      <w:r w:rsidRPr="00125DB5">
        <w:rPr>
          <w:rFonts w:ascii="Times New Roman" w:hAnsi="Times New Roman"/>
          <w:i/>
          <w:sz w:val="96"/>
          <w:szCs w:val="96"/>
        </w:rPr>
        <w:t>Декларация</w:t>
      </w:r>
    </w:p>
    <w:p w:rsidR="000D0CF4" w:rsidRPr="00125DB5" w:rsidRDefault="000D0CF4" w:rsidP="000D0CF4">
      <w:pPr>
        <w:spacing w:after="0" w:line="240" w:lineRule="auto"/>
        <w:ind w:firstLine="284"/>
        <w:jc w:val="center"/>
        <w:rPr>
          <w:rFonts w:ascii="Times New Roman" w:hAnsi="Times New Roman"/>
          <w:i/>
          <w:sz w:val="96"/>
          <w:szCs w:val="96"/>
        </w:rPr>
      </w:pPr>
      <w:r w:rsidRPr="00125DB5">
        <w:rPr>
          <w:rFonts w:ascii="Times New Roman" w:hAnsi="Times New Roman"/>
          <w:i/>
          <w:sz w:val="96"/>
          <w:szCs w:val="96"/>
        </w:rPr>
        <w:t>пожарной безопасности</w:t>
      </w: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C0600">
        <w:rPr>
          <w:rFonts w:ascii="Times New Roman" w:hAnsi="Times New Roman"/>
          <w:sz w:val="28"/>
          <w:szCs w:val="28"/>
        </w:rPr>
        <w:t>Р</w:t>
      </w:r>
      <w:proofErr w:type="gramEnd"/>
      <w:r w:rsidR="00DC0600">
        <w:rPr>
          <w:rFonts w:ascii="Times New Roman" w:hAnsi="Times New Roman"/>
          <w:sz w:val="28"/>
          <w:szCs w:val="28"/>
        </w:rPr>
        <w:t>атлуб</w:t>
      </w:r>
      <w:proofErr w:type="spellEnd"/>
      <w:r w:rsidR="005B6128">
        <w:rPr>
          <w:rFonts w:ascii="Times New Roman" w:hAnsi="Times New Roman"/>
          <w:sz w:val="28"/>
          <w:szCs w:val="28"/>
        </w:rPr>
        <w:t>, 2015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B6128" w:rsidRDefault="005B6128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E60" w:rsidRDefault="00C45E60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E60" w:rsidRDefault="00C45E60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E60" w:rsidRDefault="00C45E60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E60" w:rsidRDefault="00C45E60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5E60" w:rsidRDefault="00C45E60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6128" w:rsidRDefault="005B6128" w:rsidP="000D0C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2CFB">
        <w:rPr>
          <w:rFonts w:ascii="Times New Roman" w:hAnsi="Times New Roman"/>
          <w:sz w:val="28"/>
          <w:szCs w:val="28"/>
        </w:rPr>
        <w:t xml:space="preserve">Зарегистрирована: </w:t>
      </w:r>
    </w:p>
    <w:p w:rsidR="000D0CF4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Отделением </w:t>
      </w:r>
      <w:r w:rsidRPr="007D2C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D2CFB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Pr="007D2CFB">
        <w:rPr>
          <w:rFonts w:ascii="Times New Roman" w:hAnsi="Times New Roman"/>
          <w:sz w:val="28"/>
          <w:szCs w:val="28"/>
        </w:rPr>
        <w:t xml:space="preserve"> </w:t>
      </w:r>
    </w:p>
    <w:p w:rsidR="000D0CF4" w:rsidRPr="007D2CFB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2CFB">
        <w:rPr>
          <w:rFonts w:ascii="Times New Roman" w:hAnsi="Times New Roman"/>
          <w:sz w:val="28"/>
          <w:szCs w:val="28"/>
        </w:rPr>
        <w:t xml:space="preserve">пожарного надзора </w:t>
      </w:r>
      <w:r w:rsidR="005B6128">
        <w:rPr>
          <w:rFonts w:ascii="Times New Roman" w:hAnsi="Times New Roman"/>
          <w:sz w:val="28"/>
          <w:szCs w:val="28"/>
        </w:rPr>
        <w:t>Шамильского</w:t>
      </w:r>
      <w:r>
        <w:rPr>
          <w:rFonts w:ascii="Times New Roman" w:hAnsi="Times New Roman"/>
          <w:sz w:val="28"/>
          <w:szCs w:val="28"/>
        </w:rPr>
        <w:t xml:space="preserve"> района</w:t>
      </w:r>
    </w:p>
    <w:p w:rsidR="000D0CF4" w:rsidRPr="007D2CFB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2CFB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_____</w:t>
      </w:r>
      <w:r w:rsidRPr="007D2CF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 </w:t>
      </w:r>
      <w:r w:rsidR="005B6128">
        <w:rPr>
          <w:rFonts w:ascii="Times New Roman" w:hAnsi="Times New Roman"/>
          <w:sz w:val="28"/>
          <w:szCs w:val="28"/>
        </w:rPr>
        <w:t>2015</w:t>
      </w:r>
      <w:r w:rsidRPr="007D2CFB">
        <w:rPr>
          <w:rFonts w:ascii="Times New Roman" w:hAnsi="Times New Roman"/>
          <w:sz w:val="28"/>
          <w:szCs w:val="28"/>
        </w:rPr>
        <w:t xml:space="preserve"> г.</w:t>
      </w:r>
    </w:p>
    <w:p w:rsidR="000D0CF4" w:rsidRPr="007D2CFB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D2CFB">
        <w:rPr>
          <w:rFonts w:ascii="Times New Roman" w:hAnsi="Times New Roman"/>
          <w:sz w:val="28"/>
          <w:szCs w:val="28"/>
        </w:rPr>
        <w:t>Регистрационный №</w:t>
      </w:r>
      <w:r>
        <w:rPr>
          <w:rFonts w:ascii="Times New Roman" w:hAnsi="Times New Roman"/>
          <w:sz w:val="28"/>
          <w:szCs w:val="28"/>
        </w:rPr>
        <w:t>______</w:t>
      </w:r>
      <w:r w:rsidRPr="007D2CFB">
        <w:rPr>
          <w:rFonts w:ascii="Times New Roman" w:hAnsi="Times New Roman"/>
          <w:sz w:val="28"/>
          <w:szCs w:val="28"/>
        </w:rPr>
        <w:tab/>
      </w:r>
    </w:p>
    <w:p w:rsidR="000D0CF4" w:rsidRPr="007D2CFB" w:rsidRDefault="000D0CF4" w:rsidP="000D0CF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792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737">
        <w:rPr>
          <w:rFonts w:ascii="Times New Roman" w:hAnsi="Times New Roman"/>
          <w:b/>
          <w:bCs/>
          <w:sz w:val="28"/>
          <w:szCs w:val="28"/>
        </w:rPr>
        <w:t xml:space="preserve">ДЕКЛАРАЦИЯ 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792"/>
        <w:jc w:val="center"/>
        <w:rPr>
          <w:rFonts w:ascii="Times New Roman" w:hAnsi="Times New Roman"/>
          <w:b/>
          <w:bCs/>
          <w:sz w:val="28"/>
          <w:szCs w:val="28"/>
        </w:rPr>
      </w:pPr>
      <w:r w:rsidRPr="00754737">
        <w:rPr>
          <w:rFonts w:ascii="Times New Roman" w:hAnsi="Times New Roman"/>
          <w:b/>
          <w:bCs/>
          <w:sz w:val="28"/>
          <w:szCs w:val="28"/>
        </w:rPr>
        <w:t>ПОЖАРНОЙ БЕЗОПАСНОСТИ</w:t>
      </w:r>
    </w:p>
    <w:p w:rsidR="000D0CF4" w:rsidRPr="00754737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792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0CF4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4737">
        <w:rPr>
          <w:rFonts w:ascii="Times New Roman" w:hAnsi="Times New Roman"/>
          <w:sz w:val="28"/>
          <w:szCs w:val="28"/>
        </w:rPr>
        <w:t>Настоящая д</w:t>
      </w:r>
      <w:r>
        <w:rPr>
          <w:rFonts w:ascii="Times New Roman" w:hAnsi="Times New Roman"/>
          <w:sz w:val="28"/>
          <w:szCs w:val="28"/>
        </w:rPr>
        <w:t xml:space="preserve">екларация составлена в отношении </w:t>
      </w:r>
    </w:p>
    <w:p w:rsidR="000D0CF4" w:rsidRDefault="005B6128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F5DE3">
        <w:rPr>
          <w:rFonts w:ascii="Times New Roman" w:hAnsi="Times New Roman"/>
          <w:sz w:val="28"/>
          <w:szCs w:val="28"/>
          <w:u w:val="single"/>
        </w:rPr>
        <w:t>М</w:t>
      </w:r>
      <w:r w:rsidR="000D0CF4" w:rsidRPr="00DF5DE3">
        <w:rPr>
          <w:rFonts w:ascii="Times New Roman" w:hAnsi="Times New Roman"/>
          <w:sz w:val="28"/>
          <w:szCs w:val="28"/>
          <w:u w:val="single"/>
        </w:rPr>
        <w:t>униципального</w:t>
      </w:r>
      <w:r>
        <w:rPr>
          <w:rFonts w:ascii="Times New Roman" w:hAnsi="Times New Roman"/>
          <w:sz w:val="28"/>
          <w:szCs w:val="28"/>
          <w:u w:val="single"/>
        </w:rPr>
        <w:t xml:space="preserve"> казенного</w:t>
      </w:r>
      <w:r w:rsidR="000D0CF4" w:rsidRPr="00DF5DE3">
        <w:rPr>
          <w:rFonts w:ascii="Times New Roman" w:hAnsi="Times New Roman"/>
          <w:sz w:val="28"/>
          <w:szCs w:val="28"/>
          <w:u w:val="single"/>
        </w:rPr>
        <w:t xml:space="preserve"> общеобразовательного учреждения</w:t>
      </w:r>
    </w:p>
    <w:p w:rsidR="000D0CF4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F5DE3"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 w:rsidR="00DC0600">
        <w:rPr>
          <w:rFonts w:ascii="Times New Roman" w:hAnsi="Times New Roman"/>
          <w:sz w:val="28"/>
          <w:szCs w:val="28"/>
          <w:u w:val="single"/>
        </w:rPr>
        <w:t>Ратлуб</w:t>
      </w:r>
      <w:r w:rsidR="005B6128">
        <w:rPr>
          <w:rFonts w:ascii="Times New Roman" w:hAnsi="Times New Roman"/>
          <w:sz w:val="28"/>
          <w:szCs w:val="28"/>
          <w:u w:val="single"/>
        </w:rPr>
        <w:t>ская</w:t>
      </w:r>
      <w:proofErr w:type="spellEnd"/>
      <w:r w:rsidRPr="00DF5DE3">
        <w:rPr>
          <w:rFonts w:ascii="Times New Roman" w:hAnsi="Times New Roman"/>
          <w:sz w:val="28"/>
          <w:szCs w:val="28"/>
          <w:u w:val="single"/>
        </w:rPr>
        <w:t xml:space="preserve"> средняя общеобразовательная школа»</w:t>
      </w:r>
    </w:p>
    <w:p w:rsidR="000D0CF4" w:rsidRPr="00DF5DE3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DF5DE3">
        <w:rPr>
          <w:rFonts w:ascii="Times New Roman" w:hAnsi="Times New Roman"/>
          <w:sz w:val="28"/>
          <w:szCs w:val="28"/>
          <w:vertAlign w:val="subscript"/>
        </w:rPr>
        <w:t>полное наименование</w:t>
      </w:r>
    </w:p>
    <w:p w:rsidR="000D0CF4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F5DE3">
        <w:rPr>
          <w:rFonts w:ascii="Times New Roman" w:hAnsi="Times New Roman"/>
          <w:sz w:val="28"/>
          <w:szCs w:val="28"/>
          <w:u w:val="single"/>
        </w:rPr>
        <w:t>М</w:t>
      </w:r>
      <w:r w:rsidR="005B6128">
        <w:rPr>
          <w:rFonts w:ascii="Times New Roman" w:hAnsi="Times New Roman"/>
          <w:sz w:val="28"/>
          <w:szCs w:val="28"/>
          <w:u w:val="single"/>
        </w:rPr>
        <w:t>К</w:t>
      </w:r>
      <w:r w:rsidRPr="00DF5DE3">
        <w:rPr>
          <w:rFonts w:ascii="Times New Roman" w:hAnsi="Times New Roman"/>
          <w:sz w:val="28"/>
          <w:szCs w:val="28"/>
          <w:u w:val="single"/>
        </w:rPr>
        <w:t>ОУ «</w:t>
      </w:r>
      <w:proofErr w:type="spellStart"/>
      <w:r w:rsidR="00DC0600">
        <w:rPr>
          <w:rFonts w:ascii="Times New Roman" w:hAnsi="Times New Roman"/>
          <w:sz w:val="28"/>
          <w:szCs w:val="28"/>
          <w:u w:val="single"/>
        </w:rPr>
        <w:t>Ратлубская</w:t>
      </w:r>
      <w:proofErr w:type="spellEnd"/>
      <w:r w:rsidRPr="00DF5DE3">
        <w:rPr>
          <w:rFonts w:ascii="Times New Roman" w:hAnsi="Times New Roman"/>
          <w:sz w:val="28"/>
          <w:szCs w:val="28"/>
          <w:u w:val="single"/>
        </w:rPr>
        <w:t xml:space="preserve"> средняя общеобразовательная школа»</w:t>
      </w:r>
    </w:p>
    <w:p w:rsidR="000D0CF4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DF5DE3">
        <w:rPr>
          <w:rFonts w:ascii="Times New Roman" w:hAnsi="Times New Roman"/>
          <w:sz w:val="28"/>
          <w:szCs w:val="28"/>
          <w:vertAlign w:val="subscript"/>
        </w:rPr>
        <w:t>сокращенное наименование</w:t>
      </w:r>
    </w:p>
    <w:p w:rsidR="000D0CF4" w:rsidRPr="00DF5DE3" w:rsidRDefault="000D0CF4" w:rsidP="000D0CF4">
      <w:pPr>
        <w:widowControl w:val="0"/>
        <w:tabs>
          <w:tab w:val="left" w:leader="hyphen" w:pos="59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</w:rPr>
      </w:pPr>
      <w:r w:rsidRPr="00754737">
        <w:rPr>
          <w:rFonts w:ascii="Times New Roman" w:hAnsi="Times New Roman"/>
          <w:sz w:val="28"/>
          <w:szCs w:val="28"/>
        </w:rPr>
        <w:t>Основной государственный регистрационный номер</w:t>
      </w:r>
      <w:r>
        <w:rPr>
          <w:rFonts w:ascii="Times New Roman" w:hAnsi="Times New Roman"/>
          <w:sz w:val="28"/>
          <w:szCs w:val="28"/>
        </w:rPr>
        <w:t xml:space="preserve"> записи о </w:t>
      </w:r>
      <w:r w:rsidRPr="00754737">
        <w:rPr>
          <w:rFonts w:ascii="Times New Roman" w:hAnsi="Times New Roman"/>
          <w:sz w:val="28"/>
          <w:szCs w:val="28"/>
        </w:rPr>
        <w:t xml:space="preserve">государственной регистрации юридического лица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C45E60">
        <w:rPr>
          <w:rFonts w:ascii="Times New Roman" w:hAnsi="Times New Roman"/>
          <w:sz w:val="28"/>
          <w:szCs w:val="28"/>
        </w:rPr>
        <w:t>102050183</w:t>
      </w:r>
      <w:r w:rsidR="00DC0600">
        <w:rPr>
          <w:rFonts w:ascii="Times New Roman" w:hAnsi="Times New Roman"/>
          <w:sz w:val="28"/>
          <w:szCs w:val="28"/>
        </w:rPr>
        <w:t>9170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</w:rPr>
      </w:pPr>
      <w:r w:rsidRPr="00754737">
        <w:rPr>
          <w:rFonts w:ascii="Times New Roman" w:hAnsi="Times New Roman"/>
          <w:sz w:val="28"/>
          <w:szCs w:val="28"/>
        </w:rPr>
        <w:t>Идентификационный номер налогоплательщика</w:t>
      </w:r>
      <w:r>
        <w:rPr>
          <w:rFonts w:ascii="Times New Roman" w:hAnsi="Times New Roman"/>
          <w:sz w:val="28"/>
          <w:szCs w:val="28"/>
        </w:rPr>
        <w:t xml:space="preserve">- </w:t>
      </w:r>
      <w:r w:rsidR="00C45E60">
        <w:rPr>
          <w:rFonts w:ascii="Times New Roman" w:hAnsi="Times New Roman"/>
          <w:sz w:val="28"/>
          <w:szCs w:val="28"/>
        </w:rPr>
        <w:t>052800</w:t>
      </w:r>
      <w:r w:rsidR="001C6D3E">
        <w:rPr>
          <w:rFonts w:ascii="Times New Roman" w:hAnsi="Times New Roman"/>
          <w:sz w:val="28"/>
          <w:szCs w:val="28"/>
        </w:rPr>
        <w:t>8287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4737">
        <w:rPr>
          <w:rFonts w:ascii="Times New Roman" w:hAnsi="Times New Roman"/>
          <w:sz w:val="28"/>
          <w:szCs w:val="28"/>
        </w:rPr>
        <w:t>Место нахождения объекта защиты</w:t>
      </w:r>
      <w:r>
        <w:rPr>
          <w:rFonts w:ascii="Times New Roman" w:hAnsi="Times New Roman"/>
          <w:sz w:val="28"/>
          <w:szCs w:val="28"/>
        </w:rPr>
        <w:t>:</w:t>
      </w:r>
      <w:r w:rsidR="005B6128">
        <w:rPr>
          <w:rFonts w:ascii="Times New Roman" w:hAnsi="Times New Roman"/>
          <w:sz w:val="28"/>
          <w:szCs w:val="28"/>
        </w:rPr>
        <w:t xml:space="preserve"> </w:t>
      </w:r>
      <w:r w:rsidR="001C6D3E">
        <w:rPr>
          <w:rFonts w:ascii="Times New Roman" w:hAnsi="Times New Roman"/>
          <w:sz w:val="28"/>
          <w:szCs w:val="28"/>
        </w:rPr>
        <w:t>368439</w:t>
      </w:r>
      <w:r w:rsidR="005B612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5B6128">
        <w:rPr>
          <w:rFonts w:ascii="Times New Roman" w:hAnsi="Times New Roman"/>
          <w:sz w:val="28"/>
          <w:szCs w:val="28"/>
        </w:rPr>
        <w:t xml:space="preserve">Республика Дагестан, </w:t>
      </w:r>
      <w:proofErr w:type="spellStart"/>
      <w:r w:rsidR="005B6128">
        <w:rPr>
          <w:rFonts w:ascii="Times New Roman" w:hAnsi="Times New Roman"/>
          <w:sz w:val="28"/>
          <w:szCs w:val="28"/>
        </w:rPr>
        <w:t>Шамильский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DC0600">
        <w:rPr>
          <w:rFonts w:ascii="Times New Roman" w:hAnsi="Times New Roman"/>
          <w:sz w:val="28"/>
          <w:szCs w:val="28"/>
        </w:rPr>
        <w:t>Р</w:t>
      </w:r>
      <w:proofErr w:type="gramEnd"/>
      <w:r w:rsidR="00DC0600">
        <w:rPr>
          <w:rFonts w:ascii="Times New Roman" w:hAnsi="Times New Roman"/>
          <w:sz w:val="28"/>
          <w:szCs w:val="28"/>
        </w:rPr>
        <w:t>атлуб</w:t>
      </w:r>
      <w:proofErr w:type="spellEnd"/>
    </w:p>
    <w:p w:rsidR="000D0CF4" w:rsidRDefault="000D0CF4" w:rsidP="000D0CF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6128" w:rsidRDefault="000D0CF4" w:rsidP="005B612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 объекта: </w:t>
      </w:r>
      <w:r w:rsidR="001C6D3E">
        <w:rPr>
          <w:rFonts w:ascii="Times New Roman" w:hAnsi="Times New Roman"/>
          <w:sz w:val="28"/>
          <w:szCs w:val="28"/>
        </w:rPr>
        <w:t>368439</w:t>
      </w:r>
      <w:r w:rsidR="005B6128">
        <w:rPr>
          <w:rFonts w:ascii="Times New Roman" w:hAnsi="Times New Roman"/>
          <w:sz w:val="28"/>
          <w:szCs w:val="28"/>
        </w:rPr>
        <w:t xml:space="preserve">,  Республика Дагестан, </w:t>
      </w:r>
      <w:proofErr w:type="spellStart"/>
      <w:r w:rsidR="005B6128">
        <w:rPr>
          <w:rFonts w:ascii="Times New Roman" w:hAnsi="Times New Roman"/>
          <w:sz w:val="28"/>
          <w:szCs w:val="28"/>
        </w:rPr>
        <w:t>Шамильский</w:t>
      </w:r>
      <w:proofErr w:type="spellEnd"/>
      <w:r w:rsidR="005B612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5B6128">
        <w:rPr>
          <w:rFonts w:ascii="Times New Roman" w:hAnsi="Times New Roman"/>
          <w:sz w:val="28"/>
          <w:szCs w:val="28"/>
        </w:rPr>
        <w:t>с</w:t>
      </w:r>
      <w:proofErr w:type="gramStart"/>
      <w:r w:rsidR="005B6128">
        <w:rPr>
          <w:rFonts w:ascii="Times New Roman" w:hAnsi="Times New Roman"/>
          <w:sz w:val="28"/>
          <w:szCs w:val="28"/>
        </w:rPr>
        <w:t>.</w:t>
      </w:r>
      <w:r w:rsidR="00DC0600">
        <w:rPr>
          <w:rFonts w:ascii="Times New Roman" w:hAnsi="Times New Roman"/>
          <w:sz w:val="28"/>
          <w:szCs w:val="28"/>
        </w:rPr>
        <w:t>Р</w:t>
      </w:r>
      <w:proofErr w:type="gramEnd"/>
      <w:r w:rsidR="00DC0600">
        <w:rPr>
          <w:rFonts w:ascii="Times New Roman" w:hAnsi="Times New Roman"/>
          <w:sz w:val="28"/>
          <w:szCs w:val="28"/>
        </w:rPr>
        <w:t>атлуб</w:t>
      </w:r>
      <w:proofErr w:type="spellEnd"/>
    </w:p>
    <w:p w:rsidR="000D0CF4" w:rsidRDefault="000D0CF4" w:rsidP="005B6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9229"/>
      </w:tblGrid>
      <w:tr w:rsidR="000D0CF4" w:rsidRPr="002C7769" w:rsidTr="00287D39">
        <w:tc>
          <w:tcPr>
            <w:tcW w:w="675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76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77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776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2C77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29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769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</w:tc>
      </w:tr>
      <w:tr w:rsidR="000D0CF4" w:rsidRPr="002C7769" w:rsidTr="00287D39">
        <w:tc>
          <w:tcPr>
            <w:tcW w:w="675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769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2C77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29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77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Оценка пожарного риска</w:t>
            </w:r>
            <w:proofErr w:type="gramStart"/>
            <w:r w:rsidRPr="002C7769">
              <w:rPr>
                <w:rFonts w:ascii="Times New Roman" w:hAnsi="Times New Roman"/>
                <w:b/>
                <w:sz w:val="28"/>
                <w:szCs w:val="28"/>
                <w:u w:val="single"/>
                <w:vertAlign w:val="superscript"/>
              </w:rPr>
              <w:t>1</w:t>
            </w:r>
            <w:proofErr w:type="gramEnd"/>
            <w:r w:rsidRPr="002C77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обеспеченного на объекте защиты</w:t>
            </w:r>
          </w:p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D0CF4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пожарного риска не проводился</w:t>
            </w:r>
          </w:p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0CF4" w:rsidRPr="002C7769" w:rsidTr="00287D39">
        <w:tc>
          <w:tcPr>
            <w:tcW w:w="675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769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C77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29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2C776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Оценка возможного ущерба имуществу третьих лиц от пожара</w:t>
            </w:r>
          </w:p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Максимальная выплата возможного ущерба имуществу третьих лиц от пожара</w:t>
            </w:r>
          </w:p>
          <w:p w:rsidR="000D0CF4" w:rsidRPr="00971291" w:rsidRDefault="000D0CF4" w:rsidP="00287D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составляет 4330 (четыре тысячи триста тридцать) рублей</w:t>
            </w:r>
          </w:p>
          <w:p w:rsidR="000D0CF4" w:rsidRPr="00971291" w:rsidRDefault="000D0CF4" w:rsidP="00287D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(Заполняется самостоятельно, исходя из собственной оценки возможного ущерба</w:t>
            </w:r>
            <w:proofErr w:type="gramEnd"/>
          </w:p>
          <w:p w:rsidR="000D0CF4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имуществу третьих лиц от пожара либо приводятся реквизиты документов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страхования)</w:t>
            </w:r>
          </w:p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0CF4" w:rsidRPr="002C7769" w:rsidTr="00287D39">
        <w:tc>
          <w:tcPr>
            <w:tcW w:w="675" w:type="dxa"/>
          </w:tcPr>
          <w:p w:rsidR="000D0CF4" w:rsidRPr="002C7769" w:rsidRDefault="000D0CF4" w:rsidP="00287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7769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2C776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29" w:type="dxa"/>
          </w:tcPr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федеральных законов о технических регламентах и нормативных документов по пожарной безопасности, выполнение которых обеспечивается на объекте защиты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1 * прил.1*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2.07.01-89* «Градостроительство. Планировка и застройка городских и сельских поселений» противопожарные расстояния до соседних зданий и сооружений приняты в соответствии с табл.1;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2* прил. 1 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2.07.01-89* обеспечена возможность проезда пожарных машин к зданию, в том числе к встроено-пристроенным помещениям, и доступ пожарных с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автолестниц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или автоподъемников в любое помещение. Расстояние от края проезда до стены здания, принято не более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8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В этой зоне не   допущено размещение ограждений, воздушных линий электропередач и рядовой посадки деревьев. Вдоль фасада здания, не имеющего входов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 проезд шириной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6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, пригодный для проезда пожарных машин с учетом их допустимой нагрузки на покрытие или грунт;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2.11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2.04.02-84 «Водоснабжение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. Наружные сети и сооружения» наружное противопожарное водоснабжение принято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 пожарного гидранта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п.2.13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2.04.02-84* расход воды на наружное пожаротушение на один пожар принят для здания, согласно табл. 6-25 л/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п.8.16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2.04.02-84* предусмотрен пожарный гидрант на расстоянии не более 2,5м от края проезжей части, но не ближе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5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от стен здания,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п.9.32  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2.04.02-84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*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предусмотрен приемный колодец объемом 3-</w:t>
            </w:r>
            <w:smartTag w:uri="urn:schemas-microsoft-com:office:smarttags" w:element="metricconverter">
              <w:smartTagPr>
                <w:attr w:name="ProductID" w:val="5 м2"/>
              </w:smartTagPr>
              <w:r>
                <w:rPr>
                  <w:rFonts w:ascii="Times New Roman" w:hAnsi="Times New Roman"/>
                  <w:i/>
                  <w:sz w:val="24"/>
                  <w:szCs w:val="24"/>
                </w:rPr>
                <w:t>5 м</w:t>
              </w:r>
              <w:proofErr w:type="gramStart"/>
              <w:r>
                <w:rPr>
                  <w:rFonts w:ascii="Times New Roman" w:hAnsi="Times New Roman"/>
                  <w:i/>
                  <w:sz w:val="24"/>
                  <w:szCs w:val="24"/>
                </w:rPr>
                <w:t>2</w:t>
              </w:r>
            </w:smartTag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Диаметр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трубопровода, соединяющего резервуар с приемным колодцем принят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из условия пропуска расчетного расхода воды на наружное пожаротушение, но не менее </w:t>
            </w:r>
            <w:smartTag w:uri="urn:schemas-microsoft-com:office:smarttags" w:element="metricconverter">
              <w:smartTagPr>
                <w:attr w:name="ProductID" w:val="200 мм"/>
              </w:smartTagPr>
              <w:r>
                <w:rPr>
                  <w:rFonts w:ascii="Times New Roman" w:hAnsi="Times New Roman"/>
                  <w:i/>
                  <w:sz w:val="24"/>
                  <w:szCs w:val="24"/>
                </w:rPr>
                <w:t>200 мм</w:t>
              </w:r>
            </w:smartTag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приемным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колодцем на соединительном трубопроводе установлен колодец с задвижкой, штурвал которой должен быть выведен по крышку люка; п.6.1*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4.1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«Пожарная безопасность зданий и сооружений» в здании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предусмотрены конструктивные, объемно-планировочные и инженерно-технические решения, обеспечивающие в случае пожара;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возможность эвакуации людей независимо от их возраста и физического состояния наружу на прилегающую к зданию территорию (далее — наружу) до наступления угрозы их жизни и здоровью вследствие воздействия опасных факторов пожара;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возможность спасения людей, возможность доступа личного состава пожарных подразделений и подачи средств пожаротушения к очагу пожара, а также проведения мероприятий по спасению людей и материальных ценностей: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нераспространение пожара на рядом расположенные здания, в том числе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np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proofErr w:type="spellEnd"/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обрушении горящего здания;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ограничение прямого и косвенного материального ущерба, включая содержимое здания и само здание.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4.2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процессе строительства обеспечено: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приоритетное выполнение противопожарных мероприятий, предусмотренных проектом, разработанным в соответствии с действующими нормами и утвержденным в установленном порядке;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соблюдение противопожарных правил, предусмотренных ППБ 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-03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 охрану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от пожара строящегося и вспомогательных объектов,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пожаробезопасное</w:t>
            </w:r>
            <w:proofErr w:type="spellEnd"/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проведение строительных и монтажных работ;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наличие и исправное содержание средств борьбы с пожаром;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-возможность безопасной эвакуации и спасения людей, а также защиты материальных ценностей при пожаре в строящемся объекте и на строительной площадке.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4.3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процессе эксплуатации: обеспечено содержание здания и работоспособность средств его противопожарной защиты в соответствии с требованиями проектной и технической документации на них;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обеспечено выполнение правил пожарной безопасности, утвержденных в установленном порядке, в том числе ППБ 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-03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при проведении ремонтных работ не допущено применение конструкций    и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материалов, не отвечающих требованиям действующих норм.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а. 5.18*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здание по степени огнестойкости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) соответствует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табл. 4*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5.19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здание по конструктивной пожарной опасности (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КО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) соответствует табл. 5*: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6.4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защита людей на путях эвакуации обеспечивается комплексом объемно-планировочных, эргономических, конструктивных, инженерно-технических и организационных мероприятий. Эвакуационные пути в пределах помещения обеспечивают безопасную эвакуацию людей через эвакуационные выходы из данного помещения без учета применяемых в нем средств пожаротушения и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противодымной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защиты.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За пределами помещений защита путей эвакуации предусмотрена из условна обеспечения безопасной эвакуации людей с учетом функциональной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ж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арное опасности помещений, выходящих на эвакуационный путь, численности эвакуируемых, степени огнестойкости и класса конструктивной пожарной опасности здания, количества эвакуационных выходов с этажа и из здания в целом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Пожарная опасность строительных материалов поверхностных слоев конструкций (отделок и облицовок) в помещениях и на путях эвакуации за пределами помещений ограничена в зависимости от функциональной пожарной опасности помещения и здания с учетом других мероприятий по защите путей эвакуации;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 7*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система оповещения о пожаре выполнена в соответствии 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2.04.09-84, НПБ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104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-95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Эвакуационные выходы приняты в соответствии с п.-6.9*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21-01-97*. а именно: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из под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вального этажа предусмотрены четыре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самостоятельных эвакуационных выхода непосредственно наружу: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1-го этажа предусмотрено пять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эвакуа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ционных выходов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непосредственно 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ружу, со 2-го и 3-го этажей предусмотрено 2 лестницы по 1 в каждом крыле.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П. 6.11*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количество и ширина эвакуационных выходов из помещений, с этажей и из зданий определены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(рабочего места) до ближайшего эвакуационного выхода.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Части здания различной функциональной пожарной опасности, разделенные противопожарными преградами, обеспечены самостоятельными эвакуационными выходами. Количество эвакуационных выходов принято в соотве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ствии с п. 6.12*. 6.13*,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6.14;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6.15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эвакуационные выходы расположены рассредоточено. При наличии двух и более эвакуационных выходов общая пропускная способность всех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выходов, кроме каждого одного из них, обеспечивает безопасную эвакуацию всех людей, находящихся в помещении, на этаже или в здании.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6.16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высота эвакуационных выходов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свету предусмотрена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rFonts w:ascii="Times New Roman" w:hAnsi="Times New Roman"/>
                  <w:i/>
                  <w:sz w:val="24"/>
                  <w:szCs w:val="24"/>
                </w:rPr>
                <w:t>2</w:t>
              </w: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 xml:space="preserve"> м</w:t>
              </w:r>
            </w:smartTag>
            <w:r>
              <w:rPr>
                <w:rFonts w:ascii="Times New Roman" w:hAnsi="Times New Roman"/>
                <w:i/>
                <w:sz w:val="24"/>
                <w:szCs w:val="24"/>
              </w:rPr>
              <w:t>. ширина – 0,8-1.2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6.17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двери эвакуационных выходов и другие двери на путях эвакуации открываются по направлению выхода из здания;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6.18*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двери эвакуационных выходов из поэтажных коридоров, холлов, фойе, вестибюлей и лестничных клеток не имеют запоров, препятствующих их свободному открыванию из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нутри без ключа. Указанные двери выполнены глухими.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6.22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пути эвакуации освещены в соответствии с требованиями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23-05;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6.23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предельно допустимое расстояние от наиболее удаленного рабочего места до ближайшего эвакуационного выхода ограничено в зависимости от класса функциональной пожарной опасности здания, численности эвакуируемых, геометрических параметров помещений и эвакуационных путей, класса конструктивной пожарной опасности и степени огнестойкости здания;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6.24*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эвакуационные пути предусмотрены с учетом п. 6.9;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6.25*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на путях эвакуации не допущено применение материалов.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 более высокой пожарной опасностью, чем: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В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Д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Т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— для отделки стен, потолков и заполнения подвесных потолков в вестибюлях, лестничных клетках, лифтовых холлах;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, В2, ДЗ. ТЗ — для отделки стен, потолков и заполнения подвесных потолков в общих коридорах, холлах и фойе;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. РП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,  Т2 — для покрытий пола в вестибюлях, лестничных клетках, лифтовых холлах: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РП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ДЗ. Т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— для покрытий пола в общих коридорах, холлах и фойе.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6.26*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коридорах не допущено размещение оборудования, выступающего из плоскости стен на высоте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2 м</w:t>
              </w:r>
            </w:smartTag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., а также встроенных шкафов.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Коридоры длиной более 60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При дверях, открывающихся из помещений в коридоры, за ширину эвакуационного пути по ко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ридору принята ширина коридора 2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м. с учетом двустороннего расположения дверей;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6.27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СНиГТ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высота горизонтальных участков путей эвакуации в свету предусмотрена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2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п.6.28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* В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полу на путях эвакуации не допущено перепадов высот менее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45 см</w:t>
              </w:r>
            </w:smartTag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и выступов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 В местах перепада высот предусмотрены лестницы с числом сту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пеней не менее трех.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При высоте лестниц более </w:t>
            </w:r>
            <w:smartTag w:uri="urn:schemas-microsoft-com:office:smarttags" w:element="metricconverter">
              <w:smartTagPr>
                <w:attr w:name="ProductID" w:val="45 с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45 см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предусмотрены ограждения с перилами. На путях эвакуации не допущено устройство винтовых лестниц, лестниц полностью или частично криволинейных в плане, а также забежных и криволинейных ступеней, ступеней с различной шириной проступи и различной высоты в пределах марша лестницы и лестничной клетки;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6.29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ширина марша лестницы, предназначенной для эвакуации людей, в том числе, расположенной в лестничной клет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ке, предусмотрена не менее 1.10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м;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6.30*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21-01-97*уклон лестниц на путях эвакуации предусмотрен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менее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1: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1; ширина проступи - не менее 30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а высота ступени — не более 15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см;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6.31*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ширина лестничных площадок предусмотрена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не менее ширины марша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Промежуточные площадки в прямом марше лестницы имеют длину не менее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1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Двери, выходящие на лестничную клетку, в открытом положении не уменьшают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расчетную ширину лестничных площадок и маршей.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п.6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32*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лестничных клетках не допущено размещение трубопроводов с горючими газами 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жидкостями,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открыто проложенных электрических кабелей и проводов (за исключением электропроводки для слаботочных устройств), для освещения коридоров и лестничных клеток, а также размещение оборудования, выступающего из плоскости стен на высоте до </w:t>
            </w:r>
            <w:smartTag w:uri="urn:schemas-microsoft-com:office:smarttags" w:element="metricconverter">
              <w:smartTagPr>
                <w:attr w:name="ProductID" w:val="2.2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2.2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от поверхности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проступей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 площадок лестниц.</w:t>
            </w:r>
            <w:proofErr w:type="gramEnd"/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п.6.34*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21-01-97*лестничные клетки имеют выход наружу на прилегающую к зданию территорию непосредственно или через вес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тибюль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7.1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предотвращение распространения пожара достигается мероприятиями, ограничивавшими площадь, интенсивность и продолжительность горения: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7.4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части зданий и помещения различных классов функциональной пожарной опасности разделены между собой ограждающими конструкциями с нормируемыми пределами огнестойкости и классами конструктивной пожарной опасности;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7.5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части различной функциональной пожарной опасности, разделенные противопожарными преградами отвечают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противопожарным требованиям, предъявляемым к зданиям соответствующей функциональной пожарной опасности;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7.7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подвальном этаже не допущено размещение помещений, в которых применяются или хранятся горючие газы и жидкости, а также легковоспламен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яющиеся материалы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7.8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строительные конструкции не способствуют скрытому распространению горения: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огнестойкость узлов крепления строительных конструкций предусмотрена не ниже требуемой огнестойкости самих констру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кц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ий;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7.27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выбор разме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ров здания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произведен в зависимости от степени их огнестойкости, класса, конструктивной и функциональной пожарной опасности и величины пожарной нагрузки, а также с учетом эффективности применяемых сре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дств пр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отивопожарной защиты, наличия и удаленности пожарных служб, их вооруженности, возможных экономических и экологических последствий пожара;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7.28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в процессе эксплуатации обеспечена работоспособность всех инженерных сре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дств пр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отивопожарной защиты;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7.29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автоматическая пожарная сигнализация предусмотрена в соответствии 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2.04.09-84, НПБ104 95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8.1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тушение возможного пожара и проведение спасательных работ обеспечено конструктивными, объемно-планировочными, инженерно-техническими и организационными мероприятиями;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8.2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проезды для основных и специальных пожарных машин предусмотрены в соответствии с требованиями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2.07.01-89*;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 8.3*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предусмотрены выходы на кровлю из лестничных клеток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оборудованные стационарными лестницами, через окна размерами не менее 0.6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0,8м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8.9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между маршами лестниц и между поручнями ограждений лестничных маршей предусмотрен зазор шириной в тане в свету не менее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75 мм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8.11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21-01-97* предусмотрено ограждение на кровле в соответствии с ГО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25 772: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8.14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21-01-97*   к системам противопожарного водоснабжения зданий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обеспечен постоянный доступ для пожарных подразделений и их оборудования,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7.2. 7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41-01-2003 «Отопление, вентиляция и кондиционирование» системы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вентиляции, кондиционирования и воздушного отопления предусмотрены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общими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для гру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 помещений, размешенных в пределах одного пожарного отсека;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п. 7.11.8.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41-012003 пределы огнестойкости транзитных воздуховодов выполнены в соответствии с таб.2;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1.4*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2.08.02-89* «Общественные здания и сооружения» высота помещений от пола до потолка принята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971291">
                <w:rPr>
                  <w:rFonts w:ascii="Times New Roman" w:hAnsi="Times New Roman"/>
                  <w:i/>
                  <w:sz w:val="24"/>
                  <w:szCs w:val="24"/>
                </w:rPr>
                <w:t>3 м</w:t>
              </w:r>
            </w:smartTag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1.14*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2.08.02-89* площадь этажа и этажность для здания </w:t>
            </w:r>
            <w:r w:rsidRPr="00C764D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степени огнестойкости соответствует табл. I;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1.109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СНиП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2.08.02-89* расстояние по путям эвакуации от дверей наиболее удаленных помещений до эвакуационны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х выходов соответствует табл. 9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электроснабжение и электрические сети выполнены в соответствии с пп.1.2.1-1.6.23. правил устройства электроустановок (издание седьмое) (ПУЭ);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заземление и защитные меры соответствуют требованиям пп.1.7.1-1.8.38 ПУЭ;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внутреннее электрическое освещение соответствуют требованиям пп.6.2.1.-6.2.15 ПУЭ;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наружное электрическое освещение соответствуют требованиям пп.6.3.1.-6.3.40 ПУЭ;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осветительные приборы соответствуют требованиям пп.6.2.21.-6.6.31 ПУЭ;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Pr="00C764D9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C764D9">
              <w:rPr>
                <w:rFonts w:ascii="Times New Roman" w:hAnsi="Times New Roman"/>
                <w:i/>
                <w:sz w:val="24"/>
                <w:szCs w:val="24"/>
              </w:rPr>
              <w:t xml:space="preserve">п. 3.1 СО 153-34.21.122-2003 «Инструкция по устройству </w:t>
            </w:r>
            <w:proofErr w:type="spellStart"/>
            <w:r w:rsidRPr="00C764D9">
              <w:rPr>
                <w:rFonts w:ascii="Times New Roman" w:hAnsi="Times New Roman"/>
                <w:i/>
                <w:sz w:val="24"/>
                <w:szCs w:val="24"/>
              </w:rPr>
              <w:t>молниезащиты</w:t>
            </w:r>
            <w:proofErr w:type="spellEnd"/>
            <w:r w:rsidRPr="00C764D9">
              <w:rPr>
                <w:rFonts w:ascii="Times New Roman" w:hAnsi="Times New Roman"/>
                <w:i/>
                <w:sz w:val="24"/>
                <w:szCs w:val="24"/>
              </w:rPr>
              <w:t xml:space="preserve"> зданий и сооружений и промышленных коммуникаций» комплекс средств </w:t>
            </w:r>
            <w:proofErr w:type="spellStart"/>
            <w:r w:rsidRPr="00C764D9">
              <w:rPr>
                <w:rFonts w:ascii="Times New Roman" w:hAnsi="Times New Roman"/>
                <w:i/>
                <w:sz w:val="24"/>
                <w:szCs w:val="24"/>
              </w:rPr>
              <w:t>молниезащиты</w:t>
            </w:r>
            <w:proofErr w:type="spellEnd"/>
            <w:r w:rsidRPr="00C764D9">
              <w:rPr>
                <w:rFonts w:ascii="Times New Roman" w:hAnsi="Times New Roman"/>
                <w:i/>
                <w:sz w:val="24"/>
                <w:szCs w:val="24"/>
              </w:rPr>
              <w:t xml:space="preserve"> здания включает в себя устройства защиты от прямых ударов молнии и устройства защиты от вторичных воздействий молнии;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4 ППБ- 01-03 «Правила пожарной безопасности в Российской Федерации» требуемый уровень   обеспечения    пожарной   безопасности   людей обеспечен выполнением требований нормативных документов по пожарной безопасности;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 6 ППБ 01-03 разработаны инструкции о мерах пожарной безопасности;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 7 ППБ 01-03 все работники допускаются к работе только после прохождения противопожарного инструктажа;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п.9 ППБ 01-03 для привлечения работников к ра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боте по предупреждению и борьбе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с пожарами на предприятии создана добровольная пожарная дружина численностью </w:t>
            </w:r>
            <w:r w:rsidRPr="00B924B9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человек, оснащенная пожарно-техническим вооружением;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 13 ППБ 01-03 во всех административных и вспомогательных помещениях на видных местах вывешены таблички с указанием номера телефона вызова пожарной охраны;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14 ППБ 01-03 курение в здании запрещено;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15 ППБ 01-03 распорядительным документом установлен соответствующий противопожарный режим, в том числе: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определён порядок обесточивания электрооборудования в случае пожара и по окончании рабочего дня;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регламентированы: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порядок проведения временных огневых и других пожароопасных работ;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-п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орядок осмотра и закрытия помещений после окончания работы;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действия работников при обнаружении пожара;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определен порядок и сроки прохождения противопожарного инструктажа и занятий по пожарно-техническому минимуму, а также назначены ответственные за их проведение;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16 ППБ 01-03 разработаны и на видных местах вывешены планы эвакуации людей в случае пожара; в дополнение к схематическому плану эвакуации людей при пожаре разработан план действий на случай пожарно-аварийных ситуаций в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различных условиях и обстановке и регулярно (не реже 2-х раз в год) проводятся его практическая отработка;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23 ППБ 01-03 дороги, проезды и подъезды к зданию, пожарн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ому гидранту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используемым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для целей пожаротушение всегда свободные для проезда пожарной техники, содержатся в исправном состоянии, а зимой очищаются от снега 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п.27 ППБ 01-03 территория предприятия имеет наружное освещение в темное время суток для быстрого нахождения пожарного гидранта, мест размещения пожарного инвентаря. Места размещения (нахождения) средств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жарной безопасности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обозначены знаками пожарной безопасн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ости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  сигнальные цвета и знаки пожарной безопасности соответствуют требованиям нормативных документов по пожарной безопасности;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п.34 ППБ 01-03 противопожарные системы и уста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новки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средства пожарной автоматики, системы пр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отивопожарного водоснабжения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) постоянно содержатся в исправном рабочем состоянии;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40 ППБ 01-03 в здании запрещено: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использование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венткамер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 других технических помещений для организации производственных участков, мастерских, а также хранения продукции, оборудования, мебели и других предметов;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снятие предусмотренных проектом дверей эвакуационных выходов из поэтажных коридоров, холлов, фойе, тамбуров и лестничных клеток, других дверей, препятствующих распространению опасных факторов пожара на путях эвакуации;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производить изменения </w:t>
            </w:r>
            <w:r w:rsidRPr="00C764D9">
              <w:rPr>
                <w:rFonts w:ascii="Times New Roman" w:hAnsi="Times New Roman"/>
                <w:i/>
                <w:sz w:val="24"/>
                <w:szCs w:val="24"/>
              </w:rPr>
              <w:t>объемно-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пл</w:t>
            </w:r>
            <w:r w:rsidRPr="00C764D9">
              <w:rPr>
                <w:rFonts w:ascii="Times New Roman" w:hAnsi="Times New Roman"/>
                <w:i/>
                <w:sz w:val="24"/>
                <w:szCs w:val="24"/>
              </w:rPr>
              <w:t>анир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C764D9">
              <w:rPr>
                <w:rFonts w:ascii="Times New Roman" w:hAnsi="Times New Roman"/>
                <w:i/>
                <w:sz w:val="24"/>
                <w:szCs w:val="24"/>
              </w:rPr>
              <w:t>вочных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решений, в результате которые ухудшаются условия безопасной эвакуации людей, ограничивается доступ к огнетушителям, пожарным кланам и другим средствам пожарной безопасности или уменьшается зона действия автоматических систем противопожарной защиты;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устанавливать глухие решетки на окнах;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  <w:t>устраивать в лестничных клетках и поэтажных коридорах кладовые, а также хранить под лестничными маршами и на лестничных площадках вещи, мебель и другие материалы;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П.51 ППБ 01-03 при эксплуатации эвакуационных путей и выходов обеспечено соблюдение проектных решений и требований нормативных докуме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нтов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пожарной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безопасности (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в том числе по освещенности, количеству, размерам и объёмно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 планировочным решениям эвакуационных путей и выходов, а также по наличию на путях эвакуац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ии знаков пожарной безопасности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52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ПБ 01-03 двери на путях эвакуации открываются свободно и по направлению выхода из здания; запоры на дверях эвакуационн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ых выходов обеспечивают людям,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находящимся внутри здания, возможность их свободного открывания    изнутри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без ключа;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53 ППБ 01-03 при эксплуатации эвакуационных путей и выходов запрещено;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-загромождать эвакуационные пути и выходы (в том числе проходы, коридоры,</w:t>
            </w:r>
            <w:proofErr w:type="gramEnd"/>
          </w:p>
          <w:p w:rsidR="000D0CF4" w:rsidRPr="00971291" w:rsidRDefault="000D0CF4" w:rsidP="00287D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тамбуры, галереи, лестничные площадки, марши лестниц, двери) различными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материалами, изделиями, оборудованием;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proofErr w:type="gramEnd"/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 устраивать на путях эвакуации пороги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людей;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-применять горючие материалы для отделки,  облицовки и окраски стен и потолков, а также ступеней и лестничных площадок на путях эвакуации;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п. 54 ППБ 01-03 при расстановке технологического оборудования в помещениях обеспечены эвакуационные проходы к лестничным клеткам и другим путям эвакуации в соответствии с нормами проектирования;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п.57 ППБ 01-03 монтаж и эксплуатация электрических сетей, электроустановок и электротехнических изделий, а также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контроль за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их техническим состоянием осуществляется в соответствии с требованиями нормативных документов по ПУЭ;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58 ППБ 01-03 электроустановки и бытовые электроприборы в помещениях, в которых по окончании рабочего времени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отсутствует дежурный персонал обесточиваются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, за искл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ючением дежурного освещения,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противопожарного водоснабжения, пожарной сигнализации и оповещения;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п.,60 ППБ 01-03 при эксплуатации действующих электроустановок в здании запрещено: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использование приемников электрической энергии (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электроприёмников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) в условиях, не соответствующих требованиям инструкций организаций-изготовителей, или приемников, имеющих неисправности, которые в соответствии с инструкцией по эксплуатации могут привести к пожару, а также эксплуатировать электропровода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кабели с поврежденной или потерявшей защитные свойства изоляцией;</w:t>
            </w:r>
            <w:proofErr w:type="gramEnd"/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-пользование поврежденными розетками, руб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ил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ьниками, другими 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электроустановочными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изделиями;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-применение нестандартных (самодельных) электронагревательных прибором, использование некалиброванных, плавких вставок или других самодельных аппаратов защиты от перегрузки и короткого замыкания;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размещение у электрощитов, электродвигателей и пусковой аппаратуры горючих (в том числе легковоспламеняющихся) веществ и материалов;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64 ППБ 01-03 отверстия в местах пересечения электрических проводов и кабелей с противопожарными преградами заделаны огнестойким материалом;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77 ППБ 01-03 при эксплуатации систем вентиляции и кондиционирования воздуха в здании запрещено;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закрывать вытяжные каналы, отверстия и решетки;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п.89 ППБ 01-03 сети противопожарного водопровода находится в исправном состоянии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и обеспечивают требуемый по нормам расход воды на нужды пожаротушение. Проверка их работоспособности осуществляется не реже двух раз в год (весной и осенью); пожарный гидрант находится в исправном состоянии, а в зимнее время утепляется и очищается от снега и льда. Дороги и подъезды к источникам противопожарного водоснабжения обеспечивают проезд пожарной техники в любое время года;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90 ППБ 01-03 у гидранта и водоемов, а также по направлению движения к ним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установлены соответствующие указатели. На них нанесены цифры, указывающие расстояние до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водоисточника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п. 96 ППБ 01-03 регламентные работы по техническому обслуживанию и планово-предупредительному ремонту автоматических установок пожарной сигнализации, систем </w:t>
            </w:r>
            <w:proofErr w:type="spell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противодымной</w:t>
            </w:r>
            <w:proofErr w:type="spell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вентиляции, оповещения людей о пожаре и управление эвакуацией выполняются специализированной организацией, имеющей соответствующую лицензию на проведение данного вида работ; в период выполнения работ по техническому обслуживанию или ремонту, связанных с отключением установок противопожарной защиты принимаются необходимые меры по защите от пожара помещений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Д.97ППБ 01-03 в помещении с </w:t>
            </w: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персоналом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ведущим круглосуточное дежурство вывешена  инструкция    о    порядке  действий    дежурного    персонала    при получении сигналов о пожаре и неисправности установок (систем) пожарной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автоматики. 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п.98 ППБ 01-03 установки пожарной автоматики находятся в исправном состоянии и постоянной готовности, соотв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етствуют проектной документации;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п. 108 ППБ 01-03 помещения обеспечены первичными средствами пожаротушения: первичные средства пожаротушения содержатся в соответствии с паспортными данными на них. Не допускается использование средств пожаротушения, не имеющих соответствующих сертификатов;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 126 ППБ 01-03 все находящиеся граждане ознакомлены (под роспись) с правилами пожарной безопасности;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128 ППБ 01-03 в помещениях запрещено пользоваться электронагревательными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приборами      (в      том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числе      кипятильниками,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электрочайниками,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электроутюгами, электроплитками), не имеющими устройств тепловой защиты, без подставок из негорючих теплоизоляционных материалов, исключающих опасность возникновения пожара;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п. 130 ППБ 01-03 организовано круглосуточное дежурство обслуживающего персонала. Дежурный постоянно имеет при себе комплект ключей от всех замков на дверях эвакуационных выходов. Другой комплект ключей хранится в помещении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дежурного. Каждый ключ в обоих комплектах имеет надпись о его принадлежности к соответствующему замку. 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помещение здания соответствует СП 2.13130.2009;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система оповещения и управлен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ия эвакуацией людей при пожаре 1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-го типа в здании соответствует   требованиям   СП3.13130.2009   «Системы   противопожарной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защиты.   Система оповещения и управления эвакуацией людей при пожаре. Требования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ж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арной безопасности».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Объемно-планировочный</w:t>
            </w:r>
            <w:proofErr w:type="gramEnd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    и конструктивные решения здания соответствуют требованиям СП 4.13130.2009 «Системы противопожарной защиты. Ограничение распространения   пожара   на   объектах   защиты.    Требования   к   объемно-планиро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вочным и конструктивным решениям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электрооборудование здания выполнено в соответствии с СП 6.13130.2009 «Системы противопожарной защиты. Электрооборудование. Требования пожарной безопасности»,</w:t>
            </w: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971291">
              <w:rPr>
                <w:rFonts w:ascii="Times New Roman" w:hAnsi="Times New Roman"/>
                <w:i/>
                <w:sz w:val="24"/>
                <w:szCs w:val="24"/>
              </w:rPr>
              <w:t xml:space="preserve">отопление и вентиляция в здании выполнены в соответствии с СП 7.13130.2009 </w:t>
            </w:r>
            <w:proofErr w:type="gramEnd"/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«Отопление, вентиляция и кондиционирование. Противопожарные 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ребования»</w:t>
            </w:r>
            <w:r w:rsidRPr="00971291">
              <w:rPr>
                <w:rFonts w:ascii="Times New Roman" w:hAnsi="Times New Roman"/>
                <w:i/>
                <w:sz w:val="24"/>
                <w:szCs w:val="24"/>
              </w:rPr>
              <w:t>; наружное противопожарное водоснабжение здания выполнено в соответствии с СП 8.13130.2009 «Системы     противопожарной защиты.   Источники наружного противопожарного водоснабжения. Требования пожарной безопасности»; огнетушители в здании соответствуют требованиям СП.9.13130.2009 «Техника пожарная. Огнетушители. Требования к эксплуатации»;</w:t>
            </w:r>
          </w:p>
          <w:p w:rsidR="000D0CF4" w:rsidRPr="00B30579" w:rsidRDefault="000D0CF4" w:rsidP="00287D39">
            <w:pPr>
              <w:shd w:val="clear" w:color="auto" w:fill="FFFFFF"/>
              <w:spacing w:line="240" w:lineRule="auto"/>
              <w:ind w:left="5" w:right="422" w:firstLine="365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ППБ 101-89 2.1.1 .Образовательное учреждение перед началом учебного года </w:t>
            </w: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принимается соответствующей комиссией, в состав </w:t>
            </w:r>
            <w:proofErr w:type="gramStart"/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которых</w:t>
            </w:r>
            <w:proofErr w:type="gramEnd"/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включаются </w:t>
            </w:r>
            <w:r w:rsidRPr="00B305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представители государственного пожарного надзора.</w:t>
            </w:r>
          </w:p>
          <w:p w:rsidR="000D0CF4" w:rsidRPr="00B30579" w:rsidRDefault="000D0CF4" w:rsidP="00287D39">
            <w:pPr>
              <w:shd w:val="clear" w:color="auto" w:fill="FFFFFF"/>
              <w:spacing w:before="187" w:line="240" w:lineRule="auto"/>
              <w:ind w:left="10" w:right="422" w:firstLine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ППБ 101-89 2.1.2. Территория постоянно содержаться в чистоте. Отходы </w:t>
            </w:r>
            <w:r w:rsidRPr="00B30579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горючих материалов, опавшие листья и сухая трава регулярно убирается и вывозится с территории.</w:t>
            </w:r>
          </w:p>
          <w:p w:rsidR="000D0CF4" w:rsidRPr="00B30579" w:rsidRDefault="000D0CF4" w:rsidP="00287D39">
            <w:pPr>
              <w:shd w:val="clear" w:color="auto" w:fill="FFFFFF"/>
              <w:spacing w:before="182" w:line="240" w:lineRule="auto"/>
              <w:ind w:left="19" w:right="53" w:firstLine="355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ППБ 101-89 2.1.5. Разведение костров, сжигание мусора и устройство открытых кухонных очагов на территории не допускается.</w:t>
            </w:r>
          </w:p>
          <w:p w:rsidR="000D0CF4" w:rsidRPr="00B30579" w:rsidRDefault="000D0CF4" w:rsidP="00287D39">
            <w:pPr>
              <w:shd w:val="clear" w:color="auto" w:fill="FFFFFF"/>
              <w:spacing w:before="187" w:line="240" w:lineRule="auto"/>
              <w:ind w:right="43" w:firstLine="379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ППБ 101-89 2.1.26.По окончании занятий в классах, мастерской и в </w:t>
            </w: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lastRenderedPageBreak/>
              <w:t xml:space="preserve">лаборантских, </w:t>
            </w:r>
            <w:r w:rsidRPr="00B30579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учителя и другие работники образовательного учреждения должны тщательно </w:t>
            </w: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осмотреть помещения</w:t>
            </w:r>
            <w:proofErr w:type="gramStart"/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,</w:t>
            </w:r>
            <w:proofErr w:type="gramEnd"/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устранить недостатки и закрыть помещения, обесточив </w:t>
            </w:r>
            <w:r w:rsidRPr="00B30579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электросеть.</w:t>
            </w:r>
          </w:p>
          <w:p w:rsidR="000D0CF4" w:rsidRPr="00B30579" w:rsidRDefault="000D0CF4" w:rsidP="00287D39">
            <w:pPr>
              <w:shd w:val="clear" w:color="auto" w:fill="FFFFFF"/>
              <w:spacing w:before="182" w:line="240" w:lineRule="auto"/>
              <w:ind w:left="10" w:right="422" w:firstLine="374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ППБ 101-89 Хранение учебно-наглядных пособий, организация и проведение </w:t>
            </w:r>
            <w:r w:rsidRPr="00B305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учебно-воспитательного процесса соответствует П.4.1.1.-4.1.5.</w:t>
            </w:r>
          </w:p>
          <w:p w:rsidR="000D0CF4" w:rsidRPr="00B30579" w:rsidRDefault="000D0CF4" w:rsidP="00287D39">
            <w:pPr>
              <w:shd w:val="clear" w:color="auto" w:fill="FFFFFF"/>
              <w:spacing w:before="192" w:line="240" w:lineRule="auto"/>
              <w:ind w:left="34" w:right="422" w:firstLine="355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 xml:space="preserve">ППБ101-89 2.1.6 Группы (классы) детей младшего возраста размещены на </w:t>
            </w:r>
            <w:r w:rsidRPr="00B30579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2 </w:t>
            </w:r>
            <w:r w:rsidRPr="00B30579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этаже.</w:t>
            </w:r>
          </w:p>
          <w:p w:rsidR="000D0CF4" w:rsidRDefault="000D0CF4" w:rsidP="00287D39">
            <w:pPr>
              <w:shd w:val="clear" w:color="auto" w:fill="FFFFFF"/>
              <w:spacing w:before="163" w:line="240" w:lineRule="auto"/>
              <w:ind w:left="43" w:right="29" w:firstLine="355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ППБ 01-03 18.Все участники образовательного процесса должны: соблюдать на производстве и в быту требования пожарной безопасности, а также соблюдать и поддерживать противопожарный режим</w:t>
            </w:r>
          </w:p>
          <w:p w:rsidR="000D0CF4" w:rsidRPr="00B30579" w:rsidRDefault="000D0CF4" w:rsidP="00287D39">
            <w:pPr>
              <w:shd w:val="clear" w:color="auto" w:fill="FFFFFF"/>
              <w:spacing w:before="163" w:line="240" w:lineRule="auto"/>
              <w:ind w:left="43" w:right="29" w:firstLine="355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ППБ 01-03 133. В лабораториях и других помещениях допускается хранение ЛВЖ </w:t>
            </w:r>
            <w:r w:rsidRPr="00B30579">
              <w:rPr>
                <w:rFonts w:ascii="Times New Roman" w:hAnsi="Times New Roman"/>
                <w:i/>
                <w:color w:val="000000"/>
                <w:spacing w:val="12"/>
                <w:sz w:val="24"/>
                <w:szCs w:val="24"/>
              </w:rPr>
              <w:t>и ГЖ в количествах, не превышающих потребность. Доставка жидкостей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30579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помещения должна производиться в закрытой безопасной таре.</w:t>
            </w:r>
          </w:p>
          <w:p w:rsidR="000D0CF4" w:rsidRPr="00B30579" w:rsidRDefault="000D0CF4" w:rsidP="00287D39">
            <w:pPr>
              <w:shd w:val="clear" w:color="auto" w:fill="FFFFFF"/>
              <w:spacing w:before="192" w:line="240" w:lineRule="auto"/>
              <w:ind w:left="62" w:right="1267" w:firstLine="350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ППБ 01-03 139. Число парт (столов) в учебных классах и кабинетах не </w:t>
            </w:r>
            <w:r w:rsidRPr="00B30579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превышает количества, установленного нормами проектирования.</w:t>
            </w:r>
          </w:p>
          <w:p w:rsidR="000D0CF4" w:rsidRPr="00B30579" w:rsidRDefault="000D0CF4" w:rsidP="00287D39">
            <w:pPr>
              <w:shd w:val="clear" w:color="auto" w:fill="FFFFFF"/>
              <w:spacing w:before="168" w:line="240" w:lineRule="auto"/>
              <w:ind w:left="62" w:right="10" w:firstLine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B30579">
              <w:rPr>
                <w:rFonts w:ascii="Times New Roman" w:hAnsi="Times New Roman"/>
                <w:i/>
                <w:color w:val="000000"/>
                <w:spacing w:val="6"/>
                <w:sz w:val="24"/>
                <w:szCs w:val="24"/>
              </w:rPr>
              <w:t>ППБ 101-89 2.1.11</w:t>
            </w:r>
            <w:proofErr w:type="gramStart"/>
            <w:r>
              <w:rPr>
                <w:rFonts w:ascii="Times New Roman" w:hAnsi="Times New Roman"/>
                <w:i/>
                <w:color w:val="000000"/>
                <w:spacing w:val="6"/>
                <w:sz w:val="24"/>
                <w:szCs w:val="24"/>
              </w:rPr>
              <w:t xml:space="preserve"> </w:t>
            </w:r>
            <w:r w:rsidRPr="00B30579">
              <w:rPr>
                <w:rFonts w:ascii="Times New Roman" w:hAnsi="Times New Roman"/>
                <w:i/>
                <w:color w:val="000000"/>
                <w:spacing w:val="6"/>
                <w:sz w:val="24"/>
                <w:szCs w:val="24"/>
              </w:rPr>
              <w:t>В</w:t>
            </w:r>
            <w:proofErr w:type="gramEnd"/>
            <w:r w:rsidRPr="00B30579">
              <w:rPr>
                <w:rFonts w:ascii="Times New Roman" w:hAnsi="Times New Roman"/>
                <w:i/>
                <w:color w:val="000000"/>
                <w:spacing w:val="6"/>
                <w:sz w:val="24"/>
                <w:szCs w:val="24"/>
              </w:rPr>
              <w:t xml:space="preserve"> период пребывания людей в здании двери эвакуационных </w:t>
            </w:r>
            <w:r w:rsidRPr="00B30579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выходов запираются только изнутри с помощью легко открывающихся (без ключей</w:t>
            </w:r>
            <w:r w:rsidRPr="00B30579">
              <w:rPr>
                <w:color w:val="000000"/>
                <w:spacing w:val="2"/>
                <w:sz w:val="24"/>
                <w:szCs w:val="24"/>
              </w:rPr>
              <w:t xml:space="preserve">) </w:t>
            </w:r>
            <w:r w:rsidRPr="00B30579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запоров.</w:t>
            </w:r>
          </w:p>
          <w:p w:rsidR="000D0CF4" w:rsidRPr="00971291" w:rsidRDefault="000D0CF4" w:rsidP="00287D39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CF4" w:rsidRPr="00971291" w:rsidRDefault="000D0CF4" w:rsidP="00287D3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Настоящую декларацию разработал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школы: </w:t>
      </w:r>
      <w:r w:rsidR="001C6D3E">
        <w:rPr>
          <w:rFonts w:ascii="Times New Roman" w:hAnsi="Times New Roman"/>
          <w:sz w:val="28"/>
          <w:szCs w:val="28"/>
        </w:rPr>
        <w:t>Ибрагимов Г.А</w:t>
      </w:r>
      <w:r w:rsidR="005B61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_____________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C7769">
        <w:rPr>
          <w:rFonts w:ascii="Times New Roman" w:hAnsi="Times New Roman"/>
          <w:sz w:val="24"/>
          <w:szCs w:val="24"/>
        </w:rPr>
        <w:t>(должность, фамилия, инициалы)</w:t>
      </w:r>
      <w:r>
        <w:rPr>
          <w:rFonts w:ascii="Times New Roman" w:hAnsi="Times New Roman"/>
          <w:sz w:val="24"/>
          <w:szCs w:val="24"/>
        </w:rPr>
        <w:t xml:space="preserve">                                       (подпись)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«_____»______________20___г.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C6D3E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М. П.</w:t>
      </w:r>
    </w:p>
    <w:p w:rsidR="000D0CF4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firstLine="523"/>
        <w:jc w:val="both"/>
        <w:rPr>
          <w:rFonts w:ascii="Times New Roman" w:hAnsi="Times New Roman"/>
          <w:sz w:val="28"/>
          <w:szCs w:val="28"/>
        </w:rPr>
      </w:pPr>
    </w:p>
    <w:p w:rsidR="000D0CF4" w:rsidRPr="00784219" w:rsidRDefault="000D0CF4" w:rsidP="000D0CF4">
      <w:pPr>
        <w:widowControl w:val="0"/>
        <w:autoSpaceDE w:val="0"/>
        <w:autoSpaceDN w:val="0"/>
        <w:adjustRightInd w:val="0"/>
        <w:spacing w:after="0" w:line="240" w:lineRule="auto"/>
        <w:ind w:left="88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62EB6" w:rsidRDefault="00862EB6"/>
    <w:sectPr w:rsidR="00862EB6" w:rsidSect="00184BEB">
      <w:pgSz w:w="12240" w:h="15840"/>
      <w:pgMar w:top="964" w:right="851" w:bottom="96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CF4"/>
    <w:rsid w:val="00015F71"/>
    <w:rsid w:val="000D0CF4"/>
    <w:rsid w:val="001C6D3E"/>
    <w:rsid w:val="004B7C21"/>
    <w:rsid w:val="005B6128"/>
    <w:rsid w:val="006935C8"/>
    <w:rsid w:val="00862EB6"/>
    <w:rsid w:val="008D72B3"/>
    <w:rsid w:val="009939C0"/>
    <w:rsid w:val="00AF3547"/>
    <w:rsid w:val="00BD10D2"/>
    <w:rsid w:val="00C14034"/>
    <w:rsid w:val="00C45E60"/>
    <w:rsid w:val="00C71B8E"/>
    <w:rsid w:val="00C82E16"/>
    <w:rsid w:val="00C8776A"/>
    <w:rsid w:val="00D641E0"/>
    <w:rsid w:val="00DC0600"/>
    <w:rsid w:val="00EF01FF"/>
    <w:rsid w:val="00FC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F4"/>
    <w:pPr>
      <w:jc w:val="left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C5785"/>
    <w:pPr>
      <w:spacing w:before="300" w:after="40"/>
      <w:outlineLvl w:val="0"/>
    </w:pPr>
    <w:rPr>
      <w:rFonts w:asciiTheme="minorHAnsi" w:eastAsiaTheme="minorHAnsi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C5785"/>
    <w:pPr>
      <w:spacing w:before="240" w:after="80"/>
      <w:outlineLvl w:val="1"/>
    </w:pPr>
    <w:rPr>
      <w:rFonts w:asciiTheme="minorHAnsi" w:eastAsiaTheme="minorHAnsi" w:hAnsiTheme="minorHAnsi" w:cstheme="minorBidi"/>
      <w:smallCaps/>
      <w:spacing w:val="5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C5785"/>
    <w:pPr>
      <w:spacing w:after="0"/>
      <w:outlineLvl w:val="2"/>
    </w:pPr>
    <w:rPr>
      <w:rFonts w:asciiTheme="minorHAnsi" w:eastAsiaTheme="minorHAnsi" w:hAnsiTheme="minorHAnsi" w:cstheme="minorBidi"/>
      <w:smallCaps/>
      <w:spacing w:val="5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85"/>
    <w:pPr>
      <w:spacing w:before="240" w:after="0"/>
      <w:outlineLvl w:val="3"/>
    </w:pPr>
    <w:rPr>
      <w:rFonts w:asciiTheme="minorHAnsi" w:eastAsiaTheme="minorHAnsi" w:hAnsiTheme="minorHAnsi" w:cstheme="minorBidi"/>
      <w:smallCaps/>
      <w:spacing w:val="1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85"/>
    <w:pPr>
      <w:spacing w:before="200" w:after="0"/>
      <w:outlineLvl w:val="4"/>
    </w:pPr>
    <w:rPr>
      <w:rFonts w:asciiTheme="minorHAnsi" w:eastAsiaTheme="minorHAnsi" w:hAnsiTheme="minorHAnsi" w:cstheme="minorBidi"/>
      <w:smallCaps/>
      <w:color w:val="874295" w:themeColor="accent2" w:themeShade="BF"/>
      <w:spacing w:val="10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85"/>
    <w:pPr>
      <w:spacing w:after="0"/>
      <w:outlineLvl w:val="5"/>
    </w:pPr>
    <w:rPr>
      <w:rFonts w:asciiTheme="minorHAnsi" w:eastAsiaTheme="minorHAnsi" w:hAnsiTheme="minorHAnsi" w:cstheme="minorBidi"/>
      <w:smallCaps/>
      <w:color w:val="AC66BB" w:themeColor="accent2"/>
      <w:spacing w:val="5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85"/>
    <w:pPr>
      <w:spacing w:after="0"/>
      <w:outlineLvl w:val="6"/>
    </w:pPr>
    <w:rPr>
      <w:rFonts w:asciiTheme="minorHAnsi" w:eastAsiaTheme="minorHAnsi" w:hAnsiTheme="minorHAnsi" w:cstheme="minorBidi"/>
      <w:b/>
      <w:smallCaps/>
      <w:color w:val="AC66BB" w:themeColor="accent2"/>
      <w:spacing w:val="10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85"/>
    <w:pPr>
      <w:spacing w:after="0"/>
      <w:outlineLvl w:val="7"/>
    </w:pPr>
    <w:rPr>
      <w:rFonts w:asciiTheme="minorHAnsi" w:eastAsiaTheme="minorHAnsi" w:hAnsiTheme="minorHAnsi" w:cstheme="minorBidi"/>
      <w:b/>
      <w:i/>
      <w:smallCaps/>
      <w:color w:val="874295" w:themeColor="accent2" w:themeShade="B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85"/>
    <w:pPr>
      <w:spacing w:after="0"/>
      <w:outlineLvl w:val="8"/>
    </w:pPr>
    <w:rPr>
      <w:rFonts w:asciiTheme="minorHAnsi" w:eastAsiaTheme="minorHAnsi" w:hAnsiTheme="minorHAnsi" w:cstheme="minorBidi"/>
      <w:b/>
      <w:i/>
      <w:smallCaps/>
      <w:color w:val="592C63" w:themeColor="accent2" w:themeShade="7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578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C578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C578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C578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C5785"/>
    <w:rPr>
      <w:smallCaps/>
      <w:color w:val="874295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C5785"/>
    <w:rPr>
      <w:smallCaps/>
      <w:color w:val="AC66BB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C5785"/>
    <w:rPr>
      <w:b/>
      <w:smallCaps/>
      <w:color w:val="AC66BB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C5785"/>
    <w:rPr>
      <w:b/>
      <w:i/>
      <w:smallCaps/>
      <w:color w:val="874295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C5785"/>
    <w:rPr>
      <w:b/>
      <w:i/>
      <w:smallCaps/>
      <w:color w:val="592C6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FC5785"/>
    <w:pPr>
      <w:jc w:val="both"/>
    </w:pPr>
    <w:rPr>
      <w:rFonts w:asciiTheme="minorHAnsi" w:eastAsiaTheme="minorHAnsi" w:hAnsiTheme="minorHAnsi" w:cstheme="minorBidi"/>
      <w:b/>
      <w:bCs/>
      <w:caps/>
      <w:sz w:val="16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C5785"/>
    <w:pPr>
      <w:pBdr>
        <w:top w:val="single" w:sz="12" w:space="1" w:color="AC66BB" w:themeColor="accent2"/>
      </w:pBdr>
      <w:spacing w:line="240" w:lineRule="auto"/>
      <w:jc w:val="right"/>
    </w:pPr>
    <w:rPr>
      <w:rFonts w:asciiTheme="minorHAnsi" w:eastAsiaTheme="minorHAnsi" w:hAnsiTheme="minorHAnsi" w:cstheme="minorBidi"/>
      <w:smallCaps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C578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C5785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C578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FC5785"/>
    <w:rPr>
      <w:b/>
      <w:color w:val="AC66BB" w:themeColor="accent2"/>
    </w:rPr>
  </w:style>
  <w:style w:type="character" w:styleId="a9">
    <w:name w:val="Emphasis"/>
    <w:uiPriority w:val="20"/>
    <w:qFormat/>
    <w:rsid w:val="00FC578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FC5785"/>
    <w:pPr>
      <w:spacing w:after="0" w:line="240" w:lineRule="auto"/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FC5785"/>
  </w:style>
  <w:style w:type="paragraph" w:styleId="ac">
    <w:name w:val="List Paragraph"/>
    <w:basedOn w:val="a"/>
    <w:uiPriority w:val="34"/>
    <w:qFormat/>
    <w:rsid w:val="00FC5785"/>
    <w:pPr>
      <w:ind w:left="720"/>
      <w:contextualSpacing/>
      <w:jc w:val="both"/>
    </w:pPr>
    <w:rPr>
      <w:rFonts w:asciiTheme="minorHAnsi" w:eastAsiaTheme="minorHAnsi" w:hAnsiTheme="minorHAnsi" w:cstheme="minorBid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C5785"/>
    <w:pPr>
      <w:jc w:val="both"/>
    </w:pPr>
    <w:rPr>
      <w:rFonts w:asciiTheme="minorHAnsi" w:eastAsiaTheme="minorHAnsi" w:hAnsiTheme="minorHAnsi" w:cstheme="minorBidi"/>
      <w:i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C578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FC5785"/>
    <w:pPr>
      <w:pBdr>
        <w:top w:val="single" w:sz="8" w:space="10" w:color="874295" w:themeColor="accent2" w:themeShade="BF"/>
        <w:left w:val="single" w:sz="8" w:space="10" w:color="874295" w:themeColor="accent2" w:themeShade="BF"/>
        <w:bottom w:val="single" w:sz="8" w:space="10" w:color="874295" w:themeColor="accent2" w:themeShade="BF"/>
        <w:right w:val="single" w:sz="8" w:space="10" w:color="874295" w:themeColor="accent2" w:themeShade="BF"/>
      </w:pBdr>
      <w:shd w:val="clear" w:color="auto" w:fill="AC66BB" w:themeFill="accent2"/>
      <w:spacing w:before="140" w:after="140"/>
      <w:ind w:left="1440" w:right="1440"/>
      <w:jc w:val="both"/>
    </w:pPr>
    <w:rPr>
      <w:rFonts w:asciiTheme="minorHAnsi" w:eastAsiaTheme="minorHAnsi" w:hAnsiTheme="minorHAnsi" w:cstheme="minorBidi"/>
      <w:b/>
      <w:i/>
      <w:color w:val="E1E1E1" w:themeColor="background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FC5785"/>
    <w:rPr>
      <w:b/>
      <w:i/>
      <w:color w:val="E1E1E1" w:themeColor="background1"/>
      <w:shd w:val="clear" w:color="auto" w:fill="AC66BB" w:themeFill="accent2"/>
    </w:rPr>
  </w:style>
  <w:style w:type="character" w:styleId="af">
    <w:name w:val="Subtle Emphasis"/>
    <w:uiPriority w:val="19"/>
    <w:qFormat/>
    <w:rsid w:val="00FC5785"/>
    <w:rPr>
      <w:i/>
    </w:rPr>
  </w:style>
  <w:style w:type="character" w:styleId="af0">
    <w:name w:val="Intense Emphasis"/>
    <w:uiPriority w:val="21"/>
    <w:qFormat/>
    <w:rsid w:val="00FC5785"/>
    <w:rPr>
      <w:b/>
      <w:i/>
      <w:color w:val="AC66BB" w:themeColor="accent2"/>
      <w:spacing w:val="10"/>
    </w:rPr>
  </w:style>
  <w:style w:type="character" w:styleId="af1">
    <w:name w:val="Subtle Reference"/>
    <w:uiPriority w:val="31"/>
    <w:qFormat/>
    <w:rsid w:val="00FC5785"/>
    <w:rPr>
      <w:b/>
    </w:rPr>
  </w:style>
  <w:style w:type="character" w:styleId="af2">
    <w:name w:val="Intense Reference"/>
    <w:uiPriority w:val="32"/>
    <w:qFormat/>
    <w:rsid w:val="00FC578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FC578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FC5785"/>
    <w:pPr>
      <w:outlineLvl w:val="9"/>
    </w:pPr>
  </w:style>
  <w:style w:type="character" w:styleId="af5">
    <w:name w:val="Hyperlink"/>
    <w:basedOn w:val="a0"/>
    <w:uiPriority w:val="99"/>
    <w:unhideWhenUsed/>
    <w:rsid w:val="000D0C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E1E1E1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4071</Words>
  <Characters>23208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27225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Машидат</dc:creator>
  <cp:keywords/>
  <dc:description/>
  <cp:lastModifiedBy>Пользователь Windows</cp:lastModifiedBy>
  <cp:revision>5</cp:revision>
  <cp:lastPrinted>2016-06-24T06:11:00Z</cp:lastPrinted>
  <dcterms:created xsi:type="dcterms:W3CDTF">2015-12-22T11:29:00Z</dcterms:created>
  <dcterms:modified xsi:type="dcterms:W3CDTF">2016-07-11T17:02:00Z</dcterms:modified>
</cp:coreProperties>
</file>